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6374"/>
        <w:gridCol w:w="3399"/>
        <w:tblGridChange w:id="0">
          <w:tblGrid>
            <w:gridCol w:w="6374"/>
            <w:gridCol w:w="339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Maria Victoria Restrepo Tobón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6-200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maria.restrepoto@amigo.edu.co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Recuerde ubicar en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el horario: nombre del curso, código grupo 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790.0" w:type="dxa"/>
        <w:jc w:val="left"/>
        <w:tblInd w:w="-14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2101"/>
        <w:gridCol w:w="1686"/>
        <w:gridCol w:w="1352"/>
        <w:gridCol w:w="1686"/>
        <w:gridCol w:w="1547"/>
        <w:gridCol w:w="1612"/>
        <w:tblGridChange w:id="0">
          <w:tblGrid>
            <w:gridCol w:w="1806"/>
            <w:gridCol w:w="2101"/>
            <w:gridCol w:w="1686"/>
            <w:gridCol w:w="1352"/>
            <w:gridCol w:w="1686"/>
            <w:gridCol w:w="1547"/>
            <w:gridCol w:w="161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PSTGMD142 FAC. DE RIESGO Y FAC. DE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PROTECCIÓN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ASOCIADOS A LA CONDUCTA SUICIDA II (TG) GR.1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EEA508 ABORDAJE EN LAS ADICCIONES DISTANCIA (VIRTUAL)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EIPTG1 TRABAJO DE GRADO I (A la fecha no registra aula)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PSM003 TEORIA Y TECNICA DEL GRUPO OPERATIVO Gr. 2 (1-207)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PSTGMD142 FAC. DE RIESGO Y FAC. DE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PROTECCIÓN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ASOCIADOS A LA CONDUCTA SUICIDA II (TG) GR.1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33"/>
                <w:sz w:val="20"/>
                <w:szCs w:val="20"/>
                <w:highlight w:val="white"/>
                <w:rtl w:val="0"/>
              </w:rPr>
              <w:t xml:space="preserve">EEA508 ABORDAJE EN LAS ADICCIONES DISTANCIA  (VIRTUAL)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EIPTG1 TRABAJO DE GRADO I (A la fecha no registra aula)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 PSM003 TEORIA Y TECNICA DEL GRUPO OPERATIVO Gr. 2 (1-207)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PSTGMD142 FAC. DE RIESGO Y FAC. DE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PROTECCIÓN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ASOCIADOS A LA CONDUCTA SUICIDA II (TG) GR.2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EXTENSIÓN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PSTGMD142 FAC. DE RIESGO Y FAC. DE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PROTECCIÓN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ASOCIADOS A LA CONDUCTA SUICIDA II (TG) GR.2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EXTENSIÓN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10:00 a 11:00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REUNIÓN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ASESORÍA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EXTENSIÓN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REUNIÓN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ASESORÍA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EXTENSIÓN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REUNIÓN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ASESORÍA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ACOMPAÑAMIENTO TRABAJO DE GRADO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ASESORÍA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ACOMPAÑAMIENTO TRABAJO DE GRADO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ASESORÍA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 INVESTIGACIÓN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 EIPTG51 TRABAJO DE GRADO I (VIRTUAL)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EIPTG51 TRABAJO DE GRADO I (VIRTUAL)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KfqxYAATNJngIrDHtKQ7l+jLvA==">CgMxLjA4AHIhMW9VaEhZVVZWeUNDOGY3ckdZZXI0MXl3WVFINkljaFNj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2024-02-03T03:36:00Z</dcterms:created>
  <dc:creator>Ayudas Tecnologicas</dc:creator>
</cp:coreProperties>
</file>